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fbe43df54a863f365116466e5e94374820387"/>
    <w:p>
      <w:pPr>
        <w:pStyle w:val="Heading3"/>
      </w:pPr>
      <w:r>
        <w:t xml:space="preserve">Прокуратура ВАО г. Москвы разъясняет: рассмотрение административных дел комиссиями по делам несовершеннолетних и защите их прав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Районные (городские), районные в городах комиссии по делам несовершеннолетних и защите их прав рассматривают дела об административных правонарушениях, совершенных несовершеннолетними, а также дела об административных правонарушениях, предусмотренных статьями 5.35, 5.36, 6.10, 6.23, 20.22 КоАП РФ.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случаях, если орган или должностное лицо, к которым поступило дело о таком административном правонарушении, передает его на рассмотрение указанной комиссии. Административной ответственности подлежит лицо, достигшее к моменту совершения административного правонарушения возраста шестнадцати лет. С учетом конкретных обстоятельств дела и данных о лице, совершившем административное правонарушение в возрасте от шестнадцати до восемнадцати лет,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2024-05-08T09:21:33Z</dcterms:created>
  <dcterms:modified xsi:type="dcterms:W3CDTF">2024-05-08T09:21:33Z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