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5a9166bd393d32dd658c5d88002ded2dd6405"/>
    <w:p>
      <w:pPr>
        <w:pStyle w:val="Heading3"/>
      </w:pPr>
      <w:r>
        <w:t xml:space="preserve">Прокуратура ВАО г. Москвы разъясняет: запрещение направления в служебные командировки, привлечения к сверхурочной работе, работе в ночное время, в выходные и нерабочие праздничные дни работников в возрасте до восемнадцати лет. Дополнительные гарантии рабо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отношений). Расторжение трудового договора с работниками в возрасте до восемнадцати лет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http://novokosino.mos.ru/the-prosecutor-explained/detail/11049323.html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2025-02-12T11:33:57Z</dcterms:created>
  <dcterms:modified xsi:type="dcterms:W3CDTF">2025-02-12T11:33:57Z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