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daf27df75a261613e6e55cedd4905d6ae4316"/>
    <w:p>
      <w:pPr>
        <w:pStyle w:val="Heading3"/>
      </w:pPr>
      <w:r>
        <w:t xml:space="preserve">Прокуратура ВАО г. Москвы разъясняет: условно-досрочное освобождение от отбывания наказания несовершеннолетних</w:t>
      </w:r>
    </w:p>
    <w:p>
      <w:pPr>
        <w:pStyle w:val="FirstParagraph"/>
      </w:pPr>
      <w:r>
        <w:t xml:space="preserve">14.09.2022</w:t>
      </w:r>
    </w:p>
    <w:p>
      <w:pPr>
        <w:pStyle w:val="BodyText"/>
      </w:pPr>
      <w:r>
        <w:t xml:space="preserve">Условно-досрочное освобождение от отбывания наказания может быть применено к лицу, совершившему преступление в несовершеннолетнем возрасте, осужденному к лишению свободы, после фактического отбытия: а) не менее одной трети срока наказания, назначенного судом за преступление небольшой или средней тяжести либо за тяжкое преступление; б) не менее двух третей срока наказания, назначенного судом за особо тяжкое преступление. Условно-досрочное освобождение от отбывания наказания может быть применено к осужденным к лишению свободы беременной женщине или женщине, имеющей ребенка в возрасте до трех лет, находящегося в доме ребенка исправительного учреждения, совершившим преступление в несовершеннолетнем возрасте, после фактического отбытия не менее одной четверти срока наказания, назначенного судом за преступление небольшой тяжести. Сроки давности, предусмотренные статьями 78 и 83 УК РФ, при освобождении несовершеннолетних от уголовной ответственности или от отбывания наказания сокращаются наполовину. Для лиц, совершивших преступления до достижения возраста восемнадцати лет, сроки погашения судимости, предусмотренные ч. 3 ст. 86 УК РФ, сокращаются и соответственно равны: а) шести месяцам после отбытия или исполнения наказания более мягкого, чем лишение свободы; б) одному году после отбытия лишения свободы за преступление небольшой или средней тяжести; в) трем годам после отбытия лишения свободы за тяжкое или особо тяжкое преступление. В исключительных случаях с учетом характера совершенного деяния и личности суд может применить положения настоящей главы к лицам, совершившим преступления в возрасте от восемнадцати до двадцати лет, кроме помещения их в специальное учебно-воспитательное учреждение закрытого типа либо воспитательную колонию.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http://novokosino.mos.ru/law-enforcement-and-security/the-information-of-the-prosecutor-s-office/news-of-the-prosecutor-s-office/detail/11049313.html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049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049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2024-10-13T15:37:03Z</dcterms:created>
  <dcterms:modified xsi:type="dcterms:W3CDTF">2024-10-13T15:37:03Z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