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068e6c85a7e530f3b19589d6255f193ae9f27"/>
    <w:p>
      <w:pPr>
        <w:pStyle w:val="Heading3"/>
      </w:pPr>
      <w:r>
        <w:t xml:space="preserve">Прокуратура ВАО г. Москвы разъясняет: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включают в себя: 1) предельные (минимальные и (или) максимальные) размеры земельных участков, в том числе их площадь; 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 3) предельное количество этажей или предельную высоту зданий, строений, сооружений;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 В случае, если в градостроительном регламенте применительно к определенной территориальной зоне не устанавливаются предельные (минимальные и (или) максимальные) размеры земельных участков, в том числе их площадь, и (или) предусмотренные ГрК РФ предельные параметры разрешенного строительства, реконструкции объектов капитального строительства, непосредственно в градостроительном регламенте применительно к этой территориальной зоне указывается, что такие 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 Предельные параметры разрешенного строительства или реконструкции объектов капитального строительства в составе градостроительного регламента, установленного применительно к территориальной зоне, расположенной в границах территории исторического поселения федерального или регионального значения, должны включать в себя требования к архитектурным решениям объектов капитального строительства.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строительства, к строительным материалам, определяющим внешний облик объекта капитального строительства, требования к объемно-пространственным, архитектурностилистическим и иным характеристикам объекта капитального строительства, влияющим на его внешний облик и (или) на композицию и силуэт застройки исторического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2024-05-08T11:00:25Z</dcterms:created>
  <dcterms:modified xsi:type="dcterms:W3CDTF">2024-05-08T11:00:25Z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