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7ac9c8f70fddbaa5438346aa2346e2922e7d"/>
    <w:p>
      <w:pPr>
        <w:pStyle w:val="Heading3"/>
      </w:pPr>
      <w:r>
        <w:t xml:space="preserve">Прокуратура ВАО г. Москвы разъясняет: виды разрешенного использования земельных участков и объектов капитального строительства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Разрешенное использование земельных участков и объектов капитального строительства может быть следующих видов: 1) основные виды разрешенного использования; 2) условно разрешенные виды использования; 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зоне, в отношении которой устанавливается градостроительный регламент.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 Со дня принятия решения о комплексном развитии территории и до дня утверждения документации по планировке территории, в отношении которой принято решение о ее комплексном развитии, изменение вида разрешенного использования земельных участков и (или) объектов капитального строительства, расположенных в границах такой территории, не допускается.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2023-12-27T00:35:39Z</dcterms:created>
  <dcterms:modified xsi:type="dcterms:W3CDTF">2023-12-27T00:35:39Z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