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62a625b82dcc2f0dd7ab3b9c4e7005649f681"/>
    <w:p>
      <w:pPr>
        <w:pStyle w:val="Heading3"/>
      </w:pPr>
      <w:r>
        <w:t xml:space="preserve">Прокуратура ВАО г. Москвы разъясняет: градостроительный регламент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Градостроительным регламентом определяется правовой режим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строительства. Градостроительные регламенты устанавливаются с учетом: 1) фактического использования земельных участков и объектов капитального строительства в границах территориальной зоны; 2)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строительства; 3) функциональных зон и характеристик их планируемого развития, определенных документами территориального планирования муниципальных образований; 4) видов территориальных зон; 5) требований охраны объектов культурного наследия, а также особо охраняемых природных территорий, иных природных объектов. Действие градостроительного регламента распространяется в равной мере на все земельные участки и объекты капитального строительства, расположенные в пределах границ территориальной зоны, обозначенной на карте градостроительного зонирования. Действие градостроительного регламента не распространяется на земельные участки: 1) в границах территорий памятников и ансамблей, включенных 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памятников или ансамблей, которые являются выявленными объектами культурного наследия и решения о режиме содержания, параметрах реставрации, консервации, воссоздания, ремонта и приспособлении которых принимаются в порядке, установленном законодательством Российской Федерации об охране объектов культурного наследия; 2) в границах территорий общего пользования; 3) предназначенные для размещения линейных объектов и (или) занятые линейными объектами; 4) предоставленные для добычи полезных ископаемых.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http://novokosino.mos.ru/law-enforcement-and-security/the-information-of-the-prosecutor-s-office/news-of-the-prosecutor-s-office/detail/11049264.html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2025-07-15T02:41:54Z</dcterms:created>
  <dcterms:modified xsi:type="dcterms:W3CDTF">2025-07-15T02:41:54Z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