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6043c74fcca4fd40aced048e9260058986c3"/>
    <w:p>
      <w:pPr>
        <w:pStyle w:val="Heading3"/>
      </w:pPr>
      <w:r>
        <w:t xml:space="preserve">Прокуратура ВАО г. Москвы разъясняет: нормативы градостроительного проектирования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Нормативы градостроительного проектирования подразделяются на: 1) региональные нормативы градостроительного проектирования; 2) местные нормативы градостроительного проектирования, которые включают в себя: а) нормативы градостроительного проектирования муниципального района; б) нормативы градостроительного проектирования поселения; в) нормативы градостроительного проектирования городского округа. Органы исполнительной власти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порядке, установленном законами субъектов Российской Федерации.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значения, относящимися к областям, указанным в части 3 статьи 14 ГрК РФ,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Федерации. Нормативы градостроительного проектирования включают в себя: 1) основную часть, устанавливающую расчетные показатели, предусмотренные ГрК РФ; 2) материалы по обоснованию расчетных показателей, содержащихся в основной части нормативов градостроительного проектирования; 3)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2024-08-17T12:39:35Z</dcterms:created>
  <dcterms:modified xsi:type="dcterms:W3CDTF">2024-08-17T12:39:35Z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