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1231b49354cd0e4fbb76d58a49ebb5b4ccc16"/>
    <w:p>
      <w:pPr>
        <w:pStyle w:val="Heading3"/>
      </w:pPr>
      <w:r>
        <w:t xml:space="preserve">В результате проверки Жилинспекции по ВАО был произведен перерасчёт за услугу «содержание и ремонт» в доме на Борисовской улице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  <w:r>
        <w:t xml:space="preserve">В Мосжилинспекцию поступило обращение жителя дома 16 по Борисовской улице (район Соколиная гора) о завышении платы за услугу «содержание и ремонт», т.к., по мнению заявителя, при расчете неверно учитывался процент износа здания.</w:t>
      </w:r>
    </w:p>
    <w:p>
      <w:pPr>
        <w:pStyle w:val="BodyText"/>
      </w:pPr>
      <w:r>
        <w:t xml:space="preserve">В ходе проверки ЖИ по ВАО было выявлено, что указанный дом – 1934 года постройки, 5-этажный, 3-секционный, без лифтов и мусоропровода. Начисления за услугу «содержание и ремонт» производились управляющей организацией с 01.10.2016 по ставке, применяемой для домов со всеми удобствами, без лифта и мусоропровода.</w:t>
      </w:r>
    </w:p>
    <w:p>
      <w:pPr>
        <w:pStyle w:val="BodyText"/>
      </w:pPr>
      <w:r>
        <w:rPr>
          <w:iCs/>
          <w:i/>
        </w:rPr>
        <w:t xml:space="preserve">Правительством Москвы ежегодно принимаются постановления «Об утверждении цен, ставок и тарифов на жилищно-коммунальные услуги для населения», согласно которым производится начисление платы за жилищно-коммунальные услуги.</w:t>
      </w:r>
    </w:p>
    <w:p>
      <w:pPr>
        <w:pStyle w:val="BodyText"/>
      </w:pPr>
      <w:r>
        <w:rPr>
          <w:iCs/>
          <w:i/>
        </w:rPr>
        <w:t xml:space="preserve">Так ставка по услуге «содержание и ремонт» согласно прил.5 к постановлению Правительства Москвы от 13.12.2016 № 848-ПП в период с 01.07.2017 составляет:</w:t>
      </w:r>
    </w:p>
    <w:p>
      <w:pPr>
        <w:pStyle w:val="BodyText"/>
      </w:pPr>
      <w:r>
        <w:rPr>
          <w:iCs/>
          <w:i/>
        </w:rPr>
        <w:t xml:space="preserve">- для домов со всеми удобствами, без лифта и мусоропровода 21,95 руб./кв.м.;</w:t>
      </w:r>
    </w:p>
    <w:p>
      <w:pPr>
        <w:pStyle w:val="BodyText"/>
      </w:pPr>
      <w:r>
        <w:rPr>
          <w:iCs/>
          <w:i/>
        </w:rPr>
        <w:t xml:space="preserve">- для домов без одного или более видов удобств или с износом 60 и более процентов, а также для жилых помещений (квартир), признанных в установленном порядке непригодными для проживания, 13,17 руб./кв.м.</w:t>
      </w:r>
    </w:p>
    <w:p>
      <w:pPr>
        <w:pStyle w:val="BodyText"/>
      </w:pPr>
      <w:r>
        <w:t xml:space="preserve">Инспекцией, учитывая общее состояние дома 16 по Борисовской улице и год его постройки, был направлен запрос в МосгорБТИ для проверки обоснованности начисления платы за услугу «содержание и ремонт» по ставке 21,95 руб./кв.м. Согласно предоставленной МосгорБТИ справке, процент износа здания на 2016 год составил 66% (больше 60%). Таким образом, ставка за услугу «содержание и ремонт» в размере 21,95 руб./кв. м применялась неправомерно.</w:t>
      </w:r>
    </w:p>
    <w:p>
      <w:pPr>
        <w:pStyle w:val="BodyText"/>
      </w:pPr>
      <w:r>
        <w:t xml:space="preserve">Инспекцией было выдано предписание на перерасчет платы за услугу «содержание и ремонт» жителям дома с учетом его износа, превышающего 60%, за период с 01.10.2016.</w:t>
      </w:r>
    </w:p>
    <w:p>
      <w:pPr>
        <w:pStyle w:val="BodyText"/>
      </w:pPr>
      <w:r>
        <w:t xml:space="preserve">Предписание управляющей организацией исполнено, перерасчет произведен. Общая сумма перерасчета составила 212 432,16 руб. В настоящее время начисления за услугу «содержание и ремонт» производятся по ставке, применяемой для домов с износом более 60%.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http://novokosino.mos.ru/housing-and-communal-services/information-of-the-state-inspection-office-for-housing-/detail/7228333.html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28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28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2024-05-29T16:51:27Z</dcterms:created>
  <dcterms:modified xsi:type="dcterms:W3CDTF">2024-05-29T16:51:27Z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