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352373344a4af1dae88f0995a5496f0c3dd99"/>
    <w:p>
      <w:pPr>
        <w:pStyle w:val="Heading3"/>
      </w:pPr>
      <w:r>
        <w:t xml:space="preserve">По решению Измайловского районного суда была произведена проверка квартиры, где была выполнена несогласованная перепланировка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t xml:space="preserve">По обращению, поступившему на собственника квартиры дома 15 по 10-й Парковой улице, вынесено решение Измайловского районного суда о предоставлении доступа собственником в квартиру по вышеуказанному адресу.</w:t>
      </w:r>
    </w:p>
    <w:p>
      <w:pPr>
        <w:pStyle w:val="BodyText"/>
      </w:pPr>
      <w:r>
        <w:t xml:space="preserve">Была произведена проверка квартиры совместно с судебными приставами. В ходе проверки было выявлено, что в жилом помещении квартиры дома 15 по 10-й Парковой улице в нарушение требований части 1 статьи 26 ЖК РФ выполнена перепланировка и (или) переустройство, при отсутствии соответствующего согласования, а именно: демонтаж встроенных шкафов, перестановка раковины и электрической плиты в помещении кухни.</w:t>
      </w:r>
    </w:p>
    <w:p>
      <w:pPr>
        <w:pStyle w:val="BodyText"/>
      </w:pPr>
      <w:r>
        <w:t xml:space="preserve">Данная квартира является общей долевой собственностью, доля в праве каждого собственника ¼.</w:t>
      </w:r>
    </w:p>
    <w:p>
      <w:pPr>
        <w:pStyle w:val="BodyText"/>
      </w:pPr>
      <w:r>
        <w:t xml:space="preserve">В отношении всех четырех собственников составлены протоколы об административном правонарушении, в ч. 2 ст. 7.21 КОАП РФ, а так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же выданы предписания по приведению жилого помещения квартиры в соответствие с технической документацией ТБТИ, либо согласованию ранее произведенной перепланировки в установленном законом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http://novokosino.mos.ru/housing-and-communal-services/information-of-the-state-inspection-office-for-housing-/detail/7071348.html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071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071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2024-08-25T10:56:09Z</dcterms:created>
  <dcterms:modified xsi:type="dcterms:W3CDTF">2024-08-25T10:56:09Z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