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е-от-15.04.2022г."/>
    <w:p>
      <w:pPr>
        <w:pStyle w:val="Heading3"/>
      </w:pPr>
      <w:r>
        <w:t xml:space="preserve">Распоряжение от 15.04.2022г.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hyperlink r:id="rId20">
        <w:r>
          <w:rPr>
            <w:rStyle w:val="Hyperlink"/>
          </w:rPr>
          <w:t xml:space="preserve">Об определении управляющей организации для временного управления жилым домом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http://novokosino.mos.ru/housing-and-communal-services/helpful-information/detail/10755015.html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2;&#1089;&#1087;&#1086;&#1088;&#1103;&#1078;&#1077;&#1085;&#1080;&#1077;%20&#1086;&#1090;%2015.04.2022&#1075;.%20&#8470;%20&#1053;&#1050;&#1056;-19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helpful-information/detail/1075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2;&#1089;&#1087;&#1086;&#1088;&#1103;&#1078;&#1077;&#1085;&#1080;&#1077;%20&#1086;&#1090;%2015.04.2022&#1075;.%20&#8470;%20&#1053;&#1050;&#1056;-19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helpful-information/detail/1075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2024-03-18T07:25:23Z</dcterms:created>
  <dcterms:modified xsi:type="dcterms:W3CDTF">2024-03-18T07:25:23Z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