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986da9bc26b4fc8659faf66af57a5f6537e42"/>
    <w:p>
      <w:pPr>
        <w:pStyle w:val="Heading3"/>
      </w:pPr>
      <w:r>
        <w:t xml:space="preserve">22.12.2023г. управой района Новокосино проведено заседание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В IV квартале 2023 году управой района Новокосино проведено заседания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В качестве основного был рассмотрен вопрос о мерах по обеспечению безопасности и антитеррористической защищенности объектов (территорий) района Новокосино города Москвы в период подготовки и празднования Нового года и Рождества Христова.</w:t>
      </w:r>
    </w:p>
    <w:p>
      <w:pPr>
        <w:pStyle w:val="BodyText"/>
      </w:pPr>
      <w:r>
        <w:t xml:space="preserve">Также особое внимание уделяется работе по повышению уровня антитеррористической защищенности на объектах водоснабжения, энергетики, транспорта, торговли, жилищно-коммунального хозяйства, </w:t>
      </w:r>
      <w:r>
        <w:t xml:space="preserve">объектов (территорий), мест массового пребывания людей, расположенных на территории района Новокосино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http://novokosino.mos.ru/counter-terrorism/the-work-of-the-antiterrorist-commissions/detail/12368128.html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2368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2368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2024-12-08T01:35:36Z</dcterms:created>
  <dcterms:modified xsi:type="dcterms:W3CDTF">2024-12-08T01:35:36Z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