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986da9bc26b4fc8659faf66af57a5f6537e42"/>
    <w:p>
      <w:pPr>
        <w:pStyle w:val="Heading3"/>
      </w:pPr>
      <w:r>
        <w:t xml:space="preserve">24.08.2023г. управой района Новокосино проведено заседание постоянно действующей рабочей группы управы района Новокосино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В III квартале 2023 году управой района Новокосино проведено заседания постоянно действующей рабочей группы управы района Новокосино города Москвы по вопросам профилактики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В качестве основного был рассмотрен вопрос о мерах по обеспечению антитеррористической защищенности объектов (территорий) района Новокосино города Москвы в период подготовки и проведения Дня знаний, Дня солидарности в борьбе с терроризмом и Дня города и выборов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http://novokosino.mos.ru/counter-terrorism/the-work-of-the-antiterrorist-commissions/detail/12368102.html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12368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12368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2024-12-08T22:18:21Z</dcterms:created>
  <dcterms:modified xsi:type="dcterms:W3CDTF">2024-12-08T22:18:21Z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