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7840fbeab51e62114ea36a929c3d9d77dc5b97"/>
    <w:p>
      <w:pPr>
        <w:pStyle w:val="Heading3"/>
      </w:pPr>
      <w:r>
        <w:t xml:space="preserve">Что делать при обнаружении подозрительного предмета?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drawing>
          <wp:inline>
            <wp:extent cx="5334000" cy="30344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антитерро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4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704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антитеррор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0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http://novokosino.mos.ru/counter-terrorism/memo-to-the-population-behavior-in-the-event-of-threats-of-a-terrorist-act/detail/12041703.html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counter-terrorism/memo-to-the-population-behavior-in-the-event-of-threats-of-a-terrorist-act/detail/12041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counter-terrorism/memo-to-the-population-behavior-in-the-event-of-threats-of-a-terrorist-act/detail/12041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2024-10-09T13:46:08Z</dcterms:created>
  <dcterms:modified xsi:type="dcterms:W3CDTF">2024-10-09T13:46:08Z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