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4-от-12.04.2019г."/>
    <w:p>
      <w:pPr>
        <w:pStyle w:val="Heading3"/>
      </w:pPr>
      <w:r>
        <w:t xml:space="preserve">Протокол №4 от 12.04.2019г.</w:t>
      </w:r>
    </w:p>
    <w:p>
      <w:pPr>
        <w:pStyle w:val="FirstParagraph"/>
      </w:pPr>
      <w:r>
        <w:t xml:space="preserve">07.06.2019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12.04.2019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Суздальская, д. 38, корп. 1-2 (напротив)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http://novokosino.mos.ru/construction-reconstruction-and-land-use/the-district-commission-to-curb-the-unauthorized-construction-in-the-territory-of-the-vao-g-moskvy/two-thousand-nineteen/detail/8140559.html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construction-reconstruction-and-land-use/the-district-commission-to-curb-the-unauthorized-construction-in-the-territory-of-the-vao-g-moskvy/two-thousand-nineteen/detail/8140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construction-reconstruction-and-land-use/the-district-commission-to-curb-the-unauthorized-construction-in-the-territory-of-the-vao-g-moskvy/two-thousand-nineteen/detail/8140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2025-05-09T11:55:15Z</dcterms:created>
  <dcterms:modified xsi:type="dcterms:W3CDTF">2025-05-09T11:55:15Z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