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2-от-21.02.2018г."/>
    <w:p>
      <w:pPr>
        <w:pStyle w:val="Heading3"/>
      </w:pPr>
      <w:r>
        <w:t xml:space="preserve">Протокол №2 от 21.02.2018г.</w:t>
      </w:r>
    </w:p>
    <w:p>
      <w:pPr>
        <w:pStyle w:val="FirstParagraph"/>
      </w:pPr>
      <w:r>
        <w:t xml:space="preserve">14.03.2018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t xml:space="preserve">21.02.2018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вл.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http://novokosino.mos.ru/construction-reconstruction-and-land-use/the-district-commission-to-curb-the-unauthorized-construction-in-the-territory-of-the-vao-g-moskvy/two-thousand-eighteen/detail/7197840.html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nstruction-reconstruction-and-land-use/the-district-commission-to-curb-the-unauthorized-construction-in-the-territory-of-the-vao-g-moskvy/two-thousand-eighteen/detail/7197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nstruction-reconstruction-and-land-use/the-district-commission-to-curb-the-unauthorized-construction-in-the-territory-of-the-vao-g-moskvy/two-thousand-eighteen/detail/7197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2024-09-27T15:32:47Z</dcterms:created>
  <dcterms:modified xsi:type="dcterms:W3CDTF">2024-09-27T15:32:47Z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