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граничение-движения-преображенский-вал"/>
    <w:p>
      <w:pPr>
        <w:pStyle w:val="Heading3"/>
      </w:pPr>
      <w:r>
        <w:t xml:space="preserve">Ограничение движения Преображенский вал</w:t>
      </w:r>
    </w:p>
    <w:p>
      <w:pPr>
        <w:pStyle w:val="FirstParagraph"/>
      </w:pPr>
      <w:r>
        <w:t xml:space="preserve">14.03.2016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_local/medialibrary/2f4/2f41971a3cfc6742c82c46b072dc4287/preobrajen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http://novokosino.mos.ru/changes-in-the-traffic-organization/detail/2594943.html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changes-in-the-traffic-organization/detail/25949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changes-in-the-traffic-organization/detail/25949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2024-08-13T06:58:06Z</dcterms:created>
  <dcterms:modified xsi:type="dcterms:W3CDTF">2024-08-13T06:58:06Z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